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1" w:name="_GoBack"/>
      <w:bookmarkEnd w:id="1"/>
      <w:r>
        <w:drawing>
          <wp:anchor distT="0" distB="0" distL="0" distR="0" simplePos="0" relativeHeight="251659264" behindDoc="0" locked="0" layoutInCell="1" allowOverlap="1">
            <wp:simplePos x="0" y="0"/>
            <wp:positionH relativeFrom="page">
              <wp:posOffset>4688840</wp:posOffset>
            </wp:positionH>
            <wp:positionV relativeFrom="paragraph">
              <wp:posOffset>378460</wp:posOffset>
            </wp:positionV>
            <wp:extent cx="1987550" cy="4876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1987296" cy="487679"/>
                    </a:xfrm>
                    <a:prstGeom prst="rect">
                      <a:avLst/>
                    </a:prstGeom>
                  </pic:spPr>
                </pic:pic>
              </a:graphicData>
            </a:graphic>
          </wp:anchor>
        </w:drawing>
      </w:r>
      <w:r>
        <w:t>使用说明书</w:t>
      </w:r>
    </w:p>
    <w:p>
      <w:pPr>
        <w:spacing w:before="87"/>
        <w:ind w:left="371" w:right="0" w:firstLine="0"/>
        <w:jc w:val="left"/>
        <w:rPr>
          <w:sz w:val="18"/>
        </w:rPr>
      </w:pPr>
      <w:r>
        <w:rPr>
          <w:spacing w:val="-1"/>
          <w:sz w:val="18"/>
        </w:rPr>
        <w:t>文件编号：</w:t>
      </w:r>
      <w:r>
        <w:rPr>
          <w:sz w:val="18"/>
        </w:rPr>
        <w:t>NJJJ-TDS-RP707C</w:t>
      </w:r>
    </w:p>
    <w:p>
      <w:pPr>
        <w:spacing w:before="65" w:line="304" w:lineRule="auto"/>
        <w:ind w:left="371" w:right="8171" w:firstLine="0"/>
        <w:jc w:val="left"/>
        <w:rPr>
          <w:sz w:val="18"/>
        </w:rPr>
      </w:pPr>
      <w:r>
        <w:pict>
          <v:line id="_x0000_s1026" o:spid="_x0000_s1026" o:spt="20" style="position:absolute;left:0pt;margin-left:74.15pt;margin-top:29.7pt;height:0pt;width:456.85pt;mso-position-horizontal-relative:page;z-index:-251656192;mso-width-relative:page;mso-height-relative:page;" stroked="t" coordsize="21600,21600">
            <v:path arrowok="t"/>
            <v:fill focussize="0,0"/>
            <v:stroke weight="0.48pt" color="#000000"/>
            <v:imagedata o:title=""/>
            <o:lock v:ext="edit"/>
          </v:line>
        </w:pict>
      </w:r>
      <w:r>
        <w:rPr>
          <w:sz w:val="18"/>
        </w:rPr>
        <w:t>版本：A/2020</w:t>
      </w:r>
      <w:r>
        <w:rPr>
          <w:spacing w:val="-87"/>
          <w:sz w:val="18"/>
        </w:rPr>
        <w:t xml:space="preserve"> </w:t>
      </w:r>
      <w:r>
        <w:rPr>
          <w:sz w:val="18"/>
        </w:rPr>
        <w:t>页数：1</w:t>
      </w:r>
    </w:p>
    <w:p>
      <w:pPr>
        <w:pStyle w:val="2"/>
        <w:spacing w:before="12"/>
      </w:pPr>
    </w:p>
    <w:p>
      <w:pPr>
        <w:spacing w:before="74"/>
        <w:ind w:left="220" w:right="0" w:firstLine="0"/>
        <w:jc w:val="both"/>
        <w:rPr>
          <w:sz w:val="28"/>
        </w:rPr>
      </w:pPr>
      <w:r>
        <w:rPr>
          <w:rFonts w:ascii="Arial" w:eastAsia="Arial"/>
          <w:b/>
          <w:sz w:val="28"/>
        </w:rPr>
        <w:t>NEWEST</w:t>
      </w:r>
      <w:r>
        <w:rPr>
          <w:rFonts w:ascii="Arial" w:eastAsia="Arial"/>
          <w:b/>
          <w:spacing w:val="118"/>
          <w:sz w:val="28"/>
        </w:rPr>
        <w:t xml:space="preserve"> </w:t>
      </w:r>
      <w:r>
        <w:rPr>
          <w:rFonts w:ascii="Arial" w:eastAsia="Arial"/>
          <w:b/>
          <w:sz w:val="28"/>
        </w:rPr>
        <w:t>RP707C</w:t>
      </w:r>
      <w:r>
        <w:rPr>
          <w:rFonts w:ascii="Arial" w:eastAsia="Arial"/>
          <w:b/>
          <w:spacing w:val="-9"/>
          <w:sz w:val="28"/>
        </w:rPr>
        <w:t xml:space="preserve"> </w:t>
      </w:r>
      <w:r>
        <w:rPr>
          <w:sz w:val="28"/>
        </w:rPr>
        <w:t>快干防锈油</w:t>
      </w:r>
    </w:p>
    <w:p>
      <w:pPr>
        <w:pStyle w:val="2"/>
        <w:spacing w:before="135" w:line="242" w:lineRule="auto"/>
        <w:ind w:left="220" w:right="221"/>
        <w:jc w:val="both"/>
      </w:pPr>
      <w:r>
        <w:rPr>
          <w:rFonts w:ascii="Times New Roman" w:eastAsia="Times New Roman"/>
          <w:b/>
        </w:rPr>
        <w:t>RP-707C</w:t>
      </w:r>
      <w:r>
        <w:rPr>
          <w:rFonts w:ascii="Times New Roman" w:eastAsia="Times New Roman"/>
          <w:b/>
          <w:spacing w:val="-10"/>
        </w:rPr>
        <w:t xml:space="preserve"> </w:t>
      </w:r>
      <w:r>
        <w:t>高效防锈油具有超强防锈性</w:t>
      </w:r>
      <w:r>
        <w:rPr>
          <w:rFonts w:ascii="Times New Roman" w:eastAsia="Times New Roman"/>
        </w:rPr>
        <w:t>,</w:t>
      </w:r>
      <w:r>
        <w:rPr>
          <w:spacing w:val="-10"/>
        </w:rPr>
        <w:t>具有优异的抗紫外线、抗潮湿功能</w:t>
      </w:r>
      <w:r>
        <w:rPr>
          <w:rFonts w:ascii="Times New Roman" w:eastAsia="Times New Roman"/>
        </w:rPr>
        <w:t>,</w:t>
      </w:r>
      <w:r>
        <w:t>并可长久保持外</w:t>
      </w:r>
      <w:r>
        <w:rPr>
          <w:spacing w:val="-1"/>
        </w:rPr>
        <w:t>观颜色鲜亮美观。</w:t>
      </w:r>
      <w:r>
        <w:rPr>
          <w:rFonts w:ascii="Times New Roman" w:eastAsia="Times New Roman"/>
          <w:b/>
          <w:spacing w:val="-1"/>
        </w:rPr>
        <w:t>RP-707C</w:t>
      </w:r>
      <w:r>
        <w:rPr>
          <w:rFonts w:ascii="Times New Roman" w:eastAsia="Times New Roman"/>
          <w:b/>
          <w:spacing w:val="-14"/>
        </w:rPr>
        <w:t xml:space="preserve"> </w:t>
      </w:r>
      <w:r>
        <w:rPr>
          <w:spacing w:val="-1"/>
        </w:rPr>
        <w:t>高效防锈油性能优异</w:t>
      </w:r>
      <w:r>
        <w:rPr>
          <w:rFonts w:ascii="Times New Roman" w:eastAsia="Times New Roman"/>
          <w:spacing w:val="-1"/>
        </w:rPr>
        <w:t>,</w:t>
      </w:r>
      <w:r>
        <w:rPr>
          <w:spacing w:val="-1"/>
        </w:rPr>
        <w:t>特别适用于盐雾环境下的海运防锈。工</w:t>
      </w:r>
      <w:r>
        <w:t>件防锈表面油感轻、无颜色、形成一层薄的防锈膜。具有一定的清洗能力，油品粘度低工件带走量极低，经济价值极高。</w:t>
      </w:r>
    </w:p>
    <w:p>
      <w:pPr>
        <w:pStyle w:val="2"/>
        <w:spacing w:before="6"/>
        <w:ind w:left="220"/>
      </w:pPr>
      <w:r>
        <w:t>防锈性：</w:t>
      </w:r>
    </w:p>
    <w:p>
      <w:pPr>
        <w:pStyle w:val="2"/>
        <w:spacing w:before="4" w:line="242" w:lineRule="auto"/>
        <w:ind w:left="220" w:right="221"/>
        <w:jc w:val="both"/>
      </w:pPr>
      <w:r>
        <w:rPr>
          <w:rFonts w:ascii="Times New Roman" w:eastAsia="Times New Roman"/>
          <w:b/>
        </w:rPr>
        <w:t>RP-707C</w:t>
      </w:r>
      <w:r>
        <w:rPr>
          <w:rFonts w:ascii="Times New Roman" w:eastAsia="Times New Roman"/>
          <w:b/>
          <w:spacing w:val="8"/>
        </w:rPr>
        <w:t xml:space="preserve"> </w:t>
      </w:r>
      <w:r>
        <w:t>高效防锈油渗透力强，能迅速封堵钢件毛细孔并牢固地吸附在金属表面形成保护膜</w:t>
      </w:r>
      <w:r>
        <w:rPr>
          <w:rFonts w:ascii="Times New Roman" w:eastAsia="Times New Roman"/>
        </w:rPr>
        <w:t>,</w:t>
      </w:r>
      <w:r>
        <w:t>阻止空气及水份或其它腐蚀性介质对金属的侵蚀</w:t>
      </w:r>
      <w:r>
        <w:rPr>
          <w:rFonts w:ascii="Times New Roman" w:eastAsia="Times New Roman"/>
        </w:rPr>
        <w:t>,</w:t>
      </w:r>
      <w:r>
        <w:rPr>
          <w:spacing w:val="-5"/>
        </w:rPr>
        <w:t>为金属表面提供全面的保护。广泛</w:t>
      </w:r>
      <w:r>
        <w:t>应用于磷化电镀工件长期防锈。因使用特殊添加剂，长期在高温高湿环境防护下的产品不会产生黄斑或黑斑腐蚀。</w:t>
      </w:r>
    </w:p>
    <w:p>
      <w:pPr>
        <w:pStyle w:val="2"/>
        <w:spacing w:before="6"/>
        <w:ind w:left="220"/>
      </w:pPr>
      <w:r>
        <w:t>脱水性及抗乳化性：</w:t>
      </w:r>
    </w:p>
    <w:p>
      <w:pPr>
        <w:spacing w:before="5"/>
        <w:ind w:left="220" w:right="0" w:firstLine="0"/>
        <w:jc w:val="left"/>
        <w:rPr>
          <w:sz w:val="24"/>
        </w:rPr>
      </w:pPr>
      <w:r>
        <w:drawing>
          <wp:anchor distT="0" distB="0" distL="0" distR="0" simplePos="0" relativeHeight="251660288" behindDoc="1" locked="0" layoutInCell="1" allowOverlap="1">
            <wp:simplePos x="0" y="0"/>
            <wp:positionH relativeFrom="page">
              <wp:posOffset>2197100</wp:posOffset>
            </wp:positionH>
            <wp:positionV relativeFrom="paragraph">
              <wp:posOffset>177800</wp:posOffset>
            </wp:positionV>
            <wp:extent cx="3943350" cy="219265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3943140" cy="2192423"/>
                    </a:xfrm>
                    <a:prstGeom prst="rect">
                      <a:avLst/>
                    </a:prstGeom>
                  </pic:spPr>
                </pic:pic>
              </a:graphicData>
            </a:graphic>
          </wp:anchor>
        </w:drawing>
      </w:r>
      <w:r>
        <w:rPr>
          <w:rFonts w:ascii="Times New Roman" w:eastAsia="Times New Roman"/>
          <w:b/>
          <w:sz w:val="24"/>
        </w:rPr>
        <w:t>RP-707C</w:t>
      </w:r>
      <w:r>
        <w:rPr>
          <w:rFonts w:ascii="Times New Roman" w:eastAsia="Times New Roman"/>
          <w:b/>
          <w:spacing w:val="-1"/>
          <w:sz w:val="24"/>
        </w:rPr>
        <w:t xml:space="preserve"> </w:t>
      </w:r>
      <w:r>
        <w:rPr>
          <w:sz w:val="24"/>
        </w:rPr>
        <w:t>高效薄层防锈油具有一定的脱水性能和抗乳化性能</w:t>
      </w:r>
      <w:r>
        <w:rPr>
          <w:rFonts w:ascii="Times New Roman" w:eastAsia="Times New Roman"/>
          <w:sz w:val="24"/>
        </w:rPr>
        <w:t>,</w:t>
      </w:r>
      <w:r>
        <w:rPr>
          <w:sz w:val="24"/>
        </w:rPr>
        <w:t>排除湿气。</w:t>
      </w:r>
    </w:p>
    <w:p>
      <w:pPr>
        <w:pStyle w:val="7"/>
        <w:numPr>
          <w:ilvl w:val="0"/>
          <w:numId w:val="1"/>
        </w:numPr>
        <w:tabs>
          <w:tab w:val="left" w:pos="580"/>
        </w:tabs>
        <w:spacing w:before="4" w:after="2" w:line="240" w:lineRule="auto"/>
        <w:ind w:left="580" w:right="0" w:hanging="360"/>
        <w:jc w:val="left"/>
        <w:rPr>
          <w:sz w:val="24"/>
        </w:rPr>
      </w:pPr>
      <w:r>
        <w:rPr>
          <w:sz w:val="24"/>
        </w:rPr>
        <w:t>物理性能</w:t>
      </w:r>
    </w:p>
    <w:tbl>
      <w:tblPr>
        <w:tblStyle w:val="4"/>
        <w:tblW w:w="727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560"/>
        <w:gridCol w:w="1984"/>
        <w:gridCol w:w="1985"/>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675" w:type="dxa"/>
          </w:tcPr>
          <w:p>
            <w:pPr>
              <w:pStyle w:val="8"/>
              <w:spacing w:before="103" w:line="242" w:lineRule="auto"/>
              <w:ind w:left="215" w:right="207"/>
              <w:jc w:val="left"/>
              <w:rPr>
                <w:sz w:val="24"/>
              </w:rPr>
            </w:pPr>
            <w:r>
              <w:rPr>
                <w:sz w:val="24"/>
              </w:rPr>
              <w:t>摘要</w:t>
            </w:r>
          </w:p>
        </w:tc>
        <w:tc>
          <w:tcPr>
            <w:tcW w:w="1560" w:type="dxa"/>
          </w:tcPr>
          <w:p>
            <w:pPr>
              <w:pStyle w:val="8"/>
              <w:spacing w:before="103"/>
              <w:ind w:right="151"/>
              <w:rPr>
                <w:sz w:val="24"/>
              </w:rPr>
            </w:pPr>
            <w:r>
              <w:rPr>
                <w:sz w:val="24"/>
              </w:rPr>
              <w:t>检测项目</w:t>
            </w:r>
          </w:p>
        </w:tc>
        <w:tc>
          <w:tcPr>
            <w:tcW w:w="1984" w:type="dxa"/>
          </w:tcPr>
          <w:p>
            <w:pPr>
              <w:pStyle w:val="8"/>
              <w:spacing w:before="103"/>
              <w:ind w:left="130" w:right="121"/>
              <w:rPr>
                <w:sz w:val="24"/>
              </w:rPr>
            </w:pPr>
            <w:r>
              <w:rPr>
                <w:spacing w:val="-1"/>
                <w:sz w:val="24"/>
              </w:rPr>
              <w:t>检测标准</w:t>
            </w:r>
            <w:r>
              <w:rPr>
                <w:rFonts w:ascii="Times New Roman" w:eastAsia="Times New Roman"/>
                <w:sz w:val="24"/>
              </w:rPr>
              <w:t>/</w:t>
            </w:r>
            <w:r>
              <w:rPr>
                <w:sz w:val="24"/>
              </w:rPr>
              <w:t>方法</w:t>
            </w:r>
          </w:p>
        </w:tc>
        <w:tc>
          <w:tcPr>
            <w:tcW w:w="1985" w:type="dxa"/>
          </w:tcPr>
          <w:p>
            <w:pPr>
              <w:pStyle w:val="8"/>
              <w:spacing w:before="103"/>
              <w:ind w:left="117" w:right="110"/>
              <w:rPr>
                <w:sz w:val="24"/>
              </w:rPr>
            </w:pPr>
            <w:r>
              <w:rPr>
                <w:sz w:val="24"/>
              </w:rPr>
              <w:t>检测结果</w:t>
            </w:r>
          </w:p>
        </w:tc>
        <w:tc>
          <w:tcPr>
            <w:tcW w:w="1066" w:type="dxa"/>
          </w:tcPr>
          <w:p>
            <w:pPr>
              <w:pStyle w:val="8"/>
              <w:spacing w:before="103"/>
              <w:ind w:left="292"/>
              <w:jc w:val="left"/>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675" w:type="dxa"/>
            <w:vMerge w:val="restart"/>
            <w:textDirection w:val="tbRl"/>
          </w:tcPr>
          <w:p>
            <w:pPr>
              <w:pStyle w:val="8"/>
              <w:tabs>
                <w:tab w:val="left" w:pos="2362"/>
              </w:tabs>
              <w:spacing w:before="113"/>
              <w:ind w:left="1042"/>
              <w:jc w:val="left"/>
              <w:rPr>
                <w:sz w:val="24"/>
              </w:rPr>
            </w:pPr>
            <w:r>
              <w:rPr>
                <w:sz w:val="24"/>
              </w:rPr>
              <w:t>原</w:t>
            </w:r>
            <w:r>
              <w:rPr>
                <w:sz w:val="24"/>
              </w:rPr>
              <w:tab/>
            </w:r>
            <w:r>
              <w:rPr>
                <w:sz w:val="24"/>
              </w:rPr>
              <w:t>液</w:t>
            </w:r>
          </w:p>
        </w:tc>
        <w:tc>
          <w:tcPr>
            <w:tcW w:w="1560" w:type="dxa"/>
          </w:tcPr>
          <w:p>
            <w:pPr>
              <w:pStyle w:val="8"/>
              <w:spacing w:before="102"/>
              <w:ind w:right="151"/>
              <w:rPr>
                <w:sz w:val="24"/>
              </w:rPr>
            </w:pPr>
            <w:r>
              <w:rPr>
                <w:sz w:val="24"/>
              </w:rPr>
              <w:t>油品外观</w:t>
            </w:r>
          </w:p>
        </w:tc>
        <w:tc>
          <w:tcPr>
            <w:tcW w:w="1984" w:type="dxa"/>
          </w:tcPr>
          <w:p>
            <w:pPr>
              <w:pStyle w:val="8"/>
              <w:spacing w:before="102"/>
              <w:ind w:left="132" w:right="121"/>
              <w:rPr>
                <w:sz w:val="24"/>
              </w:rPr>
            </w:pPr>
            <w:r>
              <w:rPr>
                <w:sz w:val="24"/>
              </w:rPr>
              <w:t>目测</w:t>
            </w:r>
          </w:p>
        </w:tc>
        <w:tc>
          <w:tcPr>
            <w:tcW w:w="1985" w:type="dxa"/>
          </w:tcPr>
          <w:p>
            <w:pPr>
              <w:pStyle w:val="8"/>
              <w:spacing w:before="102"/>
              <w:ind w:left="117" w:right="110"/>
              <w:rPr>
                <w:sz w:val="24"/>
              </w:rPr>
            </w:pPr>
            <w:r>
              <w:rPr>
                <w:sz w:val="24"/>
              </w:rPr>
              <w:t>透明淡黄色液体</w:t>
            </w:r>
          </w:p>
        </w:tc>
        <w:tc>
          <w:tcPr>
            <w:tcW w:w="1066" w:type="dxa"/>
          </w:tcPr>
          <w:p>
            <w:pPr>
              <w:pStyle w:val="8"/>
              <w:ind w:left="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675" w:type="dxa"/>
            <w:vMerge w:val="continue"/>
            <w:tcBorders>
              <w:top w:val="nil"/>
            </w:tcBorders>
            <w:textDirection w:val="tbRl"/>
          </w:tcPr>
          <w:p>
            <w:pPr>
              <w:rPr>
                <w:sz w:val="2"/>
                <w:szCs w:val="2"/>
              </w:rPr>
            </w:pPr>
          </w:p>
        </w:tc>
        <w:tc>
          <w:tcPr>
            <w:tcW w:w="1560" w:type="dxa"/>
          </w:tcPr>
          <w:p>
            <w:pPr>
              <w:pStyle w:val="8"/>
              <w:spacing w:before="103"/>
              <w:ind w:right="151"/>
              <w:rPr>
                <w:sz w:val="24"/>
              </w:rPr>
            </w:pPr>
            <w:r>
              <w:rPr>
                <w:sz w:val="24"/>
              </w:rPr>
              <w:t>气味</w:t>
            </w:r>
          </w:p>
        </w:tc>
        <w:tc>
          <w:tcPr>
            <w:tcW w:w="1984" w:type="dxa"/>
          </w:tcPr>
          <w:p>
            <w:pPr>
              <w:pStyle w:val="8"/>
              <w:spacing w:before="103"/>
              <w:ind w:left="132" w:right="121"/>
              <w:rPr>
                <w:sz w:val="24"/>
              </w:rPr>
            </w:pPr>
            <w:r>
              <w:rPr>
                <w:sz w:val="24"/>
              </w:rPr>
              <w:t>嗅觉</w:t>
            </w:r>
          </w:p>
        </w:tc>
        <w:tc>
          <w:tcPr>
            <w:tcW w:w="1985" w:type="dxa"/>
          </w:tcPr>
          <w:p>
            <w:pPr>
              <w:pStyle w:val="8"/>
              <w:spacing w:before="103"/>
              <w:ind w:left="117" w:right="110"/>
              <w:rPr>
                <w:sz w:val="24"/>
              </w:rPr>
            </w:pPr>
            <w:r>
              <w:rPr>
                <w:sz w:val="24"/>
              </w:rPr>
              <w:t>柔和</w:t>
            </w:r>
          </w:p>
        </w:tc>
        <w:tc>
          <w:tcPr>
            <w:tcW w:w="1066" w:type="dxa"/>
          </w:tcPr>
          <w:p>
            <w:pPr>
              <w:pStyle w:val="8"/>
              <w:ind w:left="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675" w:type="dxa"/>
            <w:vMerge w:val="continue"/>
            <w:tcBorders>
              <w:top w:val="nil"/>
            </w:tcBorders>
            <w:textDirection w:val="tbRl"/>
          </w:tcPr>
          <w:p>
            <w:pPr>
              <w:rPr>
                <w:sz w:val="2"/>
                <w:szCs w:val="2"/>
              </w:rPr>
            </w:pPr>
          </w:p>
        </w:tc>
        <w:tc>
          <w:tcPr>
            <w:tcW w:w="1560" w:type="dxa"/>
          </w:tcPr>
          <w:p>
            <w:pPr>
              <w:pStyle w:val="8"/>
              <w:spacing w:before="101"/>
              <w:ind w:right="151"/>
              <w:rPr>
                <w:sz w:val="24"/>
              </w:rPr>
            </w:pPr>
            <w:r>
              <w:rPr>
                <w:sz w:val="24"/>
              </w:rPr>
              <w:t>闪点</w:t>
            </w:r>
          </w:p>
        </w:tc>
        <w:tc>
          <w:tcPr>
            <w:tcW w:w="1984" w:type="dxa"/>
          </w:tcPr>
          <w:p>
            <w:pPr>
              <w:pStyle w:val="8"/>
              <w:spacing w:before="101"/>
              <w:ind w:left="132" w:right="121"/>
              <w:rPr>
                <w:sz w:val="24"/>
              </w:rPr>
            </w:pPr>
            <w:r>
              <w:rPr>
                <w:sz w:val="24"/>
              </w:rPr>
              <w:t>开口闪点仪测试</w:t>
            </w:r>
          </w:p>
        </w:tc>
        <w:tc>
          <w:tcPr>
            <w:tcW w:w="1985" w:type="dxa"/>
          </w:tcPr>
          <w:p>
            <w:pPr>
              <w:pStyle w:val="8"/>
              <w:spacing w:before="101"/>
              <w:ind w:left="117" w:right="110"/>
              <w:rPr>
                <w:sz w:val="18"/>
              </w:rPr>
            </w:pPr>
            <w:r>
              <w:rPr>
                <w:rFonts w:ascii="Times New Roman" w:hAnsi="Times New Roman" w:eastAsia="Times New Roman"/>
                <w:sz w:val="24"/>
              </w:rPr>
              <w:t>60</w:t>
            </w:r>
            <w:r>
              <w:rPr>
                <w:sz w:val="18"/>
              </w:rPr>
              <w:t>（±0.3）</w:t>
            </w:r>
          </w:p>
        </w:tc>
        <w:tc>
          <w:tcPr>
            <w:tcW w:w="1066" w:type="dxa"/>
          </w:tcPr>
          <w:p>
            <w:pPr>
              <w:pStyle w:val="8"/>
              <w:ind w:left="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675" w:type="dxa"/>
            <w:vMerge w:val="continue"/>
            <w:tcBorders>
              <w:top w:val="nil"/>
            </w:tcBorders>
            <w:textDirection w:val="tbRl"/>
          </w:tcPr>
          <w:p>
            <w:pPr>
              <w:rPr>
                <w:sz w:val="2"/>
                <w:szCs w:val="2"/>
              </w:rPr>
            </w:pPr>
          </w:p>
        </w:tc>
        <w:tc>
          <w:tcPr>
            <w:tcW w:w="1560" w:type="dxa"/>
          </w:tcPr>
          <w:p>
            <w:pPr>
              <w:pStyle w:val="8"/>
              <w:spacing w:before="103"/>
              <w:ind w:right="151"/>
              <w:rPr>
                <w:sz w:val="24"/>
              </w:rPr>
            </w:pPr>
            <w:r>
              <w:rPr>
                <w:sz w:val="24"/>
              </w:rPr>
              <w:t>低温附着性</w:t>
            </w:r>
          </w:p>
        </w:tc>
        <w:tc>
          <w:tcPr>
            <w:tcW w:w="1984" w:type="dxa"/>
          </w:tcPr>
          <w:p>
            <w:pPr>
              <w:pStyle w:val="8"/>
              <w:spacing w:before="99"/>
              <w:ind w:left="132" w:right="119"/>
              <w:rPr>
                <w:rFonts w:ascii="Times New Roman"/>
                <w:sz w:val="24"/>
              </w:rPr>
            </w:pPr>
            <w:r>
              <w:rPr>
                <w:rFonts w:ascii="Times New Roman"/>
                <w:sz w:val="24"/>
              </w:rPr>
              <w:t>SH/T0211</w:t>
            </w:r>
          </w:p>
        </w:tc>
        <w:tc>
          <w:tcPr>
            <w:tcW w:w="1985" w:type="dxa"/>
          </w:tcPr>
          <w:p>
            <w:pPr>
              <w:pStyle w:val="8"/>
              <w:spacing w:before="103"/>
              <w:ind w:left="117" w:right="110"/>
              <w:rPr>
                <w:sz w:val="24"/>
              </w:rPr>
            </w:pPr>
            <w:r>
              <w:rPr>
                <w:sz w:val="24"/>
              </w:rPr>
              <w:t>合格</w:t>
            </w:r>
          </w:p>
        </w:tc>
        <w:tc>
          <w:tcPr>
            <w:tcW w:w="1066" w:type="dxa"/>
          </w:tcPr>
          <w:p>
            <w:pPr>
              <w:pStyle w:val="8"/>
              <w:ind w:left="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675" w:type="dxa"/>
            <w:vMerge w:val="continue"/>
            <w:tcBorders>
              <w:top w:val="nil"/>
            </w:tcBorders>
            <w:textDirection w:val="tbRl"/>
          </w:tcPr>
          <w:p>
            <w:pPr>
              <w:rPr>
                <w:sz w:val="2"/>
                <w:szCs w:val="2"/>
              </w:rPr>
            </w:pPr>
          </w:p>
        </w:tc>
        <w:tc>
          <w:tcPr>
            <w:tcW w:w="1560" w:type="dxa"/>
          </w:tcPr>
          <w:p>
            <w:pPr>
              <w:pStyle w:val="8"/>
              <w:spacing w:before="102"/>
              <w:ind w:right="151"/>
              <w:rPr>
                <w:sz w:val="24"/>
              </w:rPr>
            </w:pPr>
            <w:r>
              <w:rPr>
                <w:sz w:val="24"/>
              </w:rPr>
              <w:t>腐蚀试验</w:t>
            </w:r>
          </w:p>
        </w:tc>
        <w:tc>
          <w:tcPr>
            <w:tcW w:w="1984" w:type="dxa"/>
          </w:tcPr>
          <w:p>
            <w:pPr>
              <w:pStyle w:val="8"/>
              <w:spacing w:before="101"/>
              <w:ind w:left="132" w:right="119"/>
              <w:rPr>
                <w:rFonts w:ascii="Times New Roman"/>
                <w:sz w:val="24"/>
              </w:rPr>
            </w:pPr>
            <w:r>
              <w:rPr>
                <w:rFonts w:ascii="Times New Roman"/>
                <w:sz w:val="24"/>
              </w:rPr>
              <w:t>SH/T0080</w:t>
            </w:r>
          </w:p>
        </w:tc>
        <w:tc>
          <w:tcPr>
            <w:tcW w:w="1985" w:type="dxa"/>
          </w:tcPr>
          <w:p>
            <w:pPr>
              <w:pStyle w:val="8"/>
              <w:spacing w:before="102"/>
              <w:ind w:left="119" w:right="110"/>
              <w:rPr>
                <w:sz w:val="24"/>
              </w:rPr>
            </w:pPr>
            <w:r>
              <w:rPr>
                <w:rFonts w:ascii="Times New Roman" w:eastAsia="Times New Roman"/>
                <w:sz w:val="24"/>
              </w:rPr>
              <w:t>A</w:t>
            </w:r>
            <w:r>
              <w:rPr>
                <w:rFonts w:ascii="Times New Roman" w:eastAsia="Times New Roman"/>
                <w:spacing w:val="-1"/>
                <w:sz w:val="24"/>
              </w:rPr>
              <w:t xml:space="preserve"> </w:t>
            </w:r>
            <w:r>
              <w:rPr>
                <w:sz w:val="24"/>
              </w:rPr>
              <w:t>级</w:t>
            </w:r>
          </w:p>
        </w:tc>
        <w:tc>
          <w:tcPr>
            <w:tcW w:w="1066" w:type="dxa"/>
          </w:tcPr>
          <w:p>
            <w:pPr>
              <w:pStyle w:val="8"/>
              <w:ind w:left="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675" w:type="dxa"/>
            <w:vMerge w:val="continue"/>
            <w:tcBorders>
              <w:top w:val="nil"/>
            </w:tcBorders>
            <w:textDirection w:val="tbRl"/>
          </w:tcPr>
          <w:p>
            <w:pPr>
              <w:rPr>
                <w:sz w:val="2"/>
                <w:szCs w:val="2"/>
              </w:rPr>
            </w:pPr>
          </w:p>
        </w:tc>
        <w:tc>
          <w:tcPr>
            <w:tcW w:w="1560" w:type="dxa"/>
          </w:tcPr>
          <w:p>
            <w:pPr>
              <w:pStyle w:val="8"/>
              <w:spacing w:before="103"/>
              <w:ind w:right="151"/>
              <w:rPr>
                <w:sz w:val="24"/>
              </w:rPr>
            </w:pPr>
            <w:r>
              <w:rPr>
                <w:sz w:val="24"/>
              </w:rPr>
              <w:t>运动黏度</w:t>
            </w:r>
          </w:p>
        </w:tc>
        <w:tc>
          <w:tcPr>
            <w:tcW w:w="1984" w:type="dxa"/>
          </w:tcPr>
          <w:p>
            <w:pPr>
              <w:pStyle w:val="8"/>
              <w:spacing w:before="99"/>
              <w:ind w:left="132" w:right="119"/>
              <w:rPr>
                <w:rFonts w:ascii="Times New Roman"/>
                <w:sz w:val="24"/>
              </w:rPr>
            </w:pPr>
            <w:r>
              <w:rPr>
                <w:rFonts w:ascii="Times New Roman"/>
                <w:sz w:val="24"/>
              </w:rPr>
              <w:t>SH/T265</w:t>
            </w:r>
          </w:p>
        </w:tc>
        <w:tc>
          <w:tcPr>
            <w:tcW w:w="1985" w:type="dxa"/>
          </w:tcPr>
          <w:p>
            <w:pPr>
              <w:pStyle w:val="8"/>
              <w:spacing w:before="102"/>
              <w:ind w:left="117" w:right="110"/>
              <w:rPr>
                <w:sz w:val="18"/>
              </w:rPr>
            </w:pPr>
            <w:r>
              <w:rPr>
                <w:rFonts w:ascii="Times New Roman" w:hAnsi="Times New Roman" w:eastAsia="Times New Roman"/>
                <w:sz w:val="24"/>
              </w:rPr>
              <w:t>1.35</w:t>
            </w:r>
            <w:r>
              <w:rPr>
                <w:sz w:val="18"/>
              </w:rPr>
              <w:t>（±0.3）</w:t>
            </w:r>
          </w:p>
        </w:tc>
        <w:tc>
          <w:tcPr>
            <w:tcW w:w="1066" w:type="dxa"/>
          </w:tcPr>
          <w:p>
            <w:pPr>
              <w:pStyle w:val="8"/>
              <w:ind w:left="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675" w:type="dxa"/>
            <w:vMerge w:val="continue"/>
            <w:tcBorders>
              <w:top w:val="nil"/>
            </w:tcBorders>
            <w:textDirection w:val="tbRl"/>
          </w:tcPr>
          <w:p>
            <w:pPr>
              <w:rPr>
                <w:sz w:val="2"/>
                <w:szCs w:val="2"/>
              </w:rPr>
            </w:pPr>
          </w:p>
        </w:tc>
        <w:tc>
          <w:tcPr>
            <w:tcW w:w="1560" w:type="dxa"/>
          </w:tcPr>
          <w:p>
            <w:pPr>
              <w:pStyle w:val="8"/>
              <w:spacing w:before="101"/>
              <w:ind w:right="151"/>
              <w:rPr>
                <w:sz w:val="24"/>
              </w:rPr>
            </w:pPr>
            <w:r>
              <w:rPr>
                <w:sz w:val="24"/>
              </w:rPr>
              <w:t>盐雾试验</w:t>
            </w:r>
          </w:p>
        </w:tc>
        <w:tc>
          <w:tcPr>
            <w:tcW w:w="1984" w:type="dxa"/>
          </w:tcPr>
          <w:p>
            <w:pPr>
              <w:pStyle w:val="8"/>
              <w:spacing w:before="101"/>
              <w:ind w:left="132" w:right="119"/>
              <w:rPr>
                <w:rFonts w:ascii="Times New Roman"/>
                <w:sz w:val="24"/>
              </w:rPr>
            </w:pPr>
            <w:r>
              <w:rPr>
                <w:rFonts w:ascii="Times New Roman"/>
                <w:sz w:val="24"/>
              </w:rPr>
              <w:t>SH/T0081</w:t>
            </w:r>
          </w:p>
        </w:tc>
        <w:tc>
          <w:tcPr>
            <w:tcW w:w="1985" w:type="dxa"/>
          </w:tcPr>
          <w:p>
            <w:pPr>
              <w:pStyle w:val="8"/>
              <w:spacing w:before="101"/>
              <w:ind w:left="120" w:right="110"/>
              <w:rPr>
                <w:rFonts w:ascii="Times New Roman" w:hAnsi="Times New Roman" w:eastAsia="Times New Roman"/>
                <w:sz w:val="24"/>
              </w:rPr>
            </w:pPr>
            <w:r>
              <w:rPr>
                <w:rFonts w:ascii="Times New Roman" w:hAnsi="Times New Roman" w:eastAsia="Times New Roman"/>
                <w:sz w:val="24"/>
              </w:rPr>
              <w:t>10#</w:t>
            </w:r>
            <w:r>
              <w:rPr>
                <w:sz w:val="24"/>
              </w:rPr>
              <w:t>钢片（</w:t>
            </w:r>
            <w:r>
              <w:rPr>
                <w:rFonts w:ascii="Arial MT" w:hAnsi="Arial MT" w:eastAsia="Arial MT"/>
                <w:sz w:val="24"/>
              </w:rPr>
              <w:t>≥</w:t>
            </w:r>
            <w:r>
              <w:rPr>
                <w:rFonts w:hint="eastAsia" w:ascii="Arial MT" w:hAnsi="Arial MT"/>
                <w:sz w:val="24"/>
                <w:lang w:val="en-US" w:eastAsia="zh-CN"/>
              </w:rPr>
              <w:t>24</w:t>
            </w:r>
            <w:r>
              <w:rPr>
                <w:rFonts w:ascii="Times New Roman" w:hAnsi="Times New Roman" w:eastAsia="Times New Roman"/>
                <w:sz w:val="24"/>
              </w:rPr>
              <w:t>H)</w:t>
            </w:r>
          </w:p>
        </w:tc>
        <w:tc>
          <w:tcPr>
            <w:tcW w:w="1066" w:type="dxa"/>
          </w:tcPr>
          <w:p>
            <w:pPr>
              <w:pStyle w:val="8"/>
              <w:ind w:left="0"/>
              <w:jc w:val="left"/>
              <w:rPr>
                <w:rFonts w:ascii="Times New Roman"/>
                <w:sz w:val="22"/>
              </w:rPr>
            </w:pPr>
          </w:p>
        </w:tc>
      </w:tr>
    </w:tbl>
    <w:p>
      <w:pPr>
        <w:pStyle w:val="2"/>
        <w:spacing w:before="5"/>
        <w:rPr>
          <w:sz w:val="32"/>
        </w:rPr>
      </w:pPr>
    </w:p>
    <w:p>
      <w:pPr>
        <w:pStyle w:val="2"/>
        <w:ind w:left="220"/>
      </w:pPr>
      <w:r>
        <w:rPr>
          <w:color w:val="333333"/>
        </w:rPr>
        <w:t>注意事项</w:t>
      </w:r>
    </w:p>
    <w:p>
      <w:pPr>
        <w:pStyle w:val="7"/>
        <w:numPr>
          <w:ilvl w:val="1"/>
          <w:numId w:val="1"/>
        </w:numPr>
        <w:tabs>
          <w:tab w:val="left" w:pos="941"/>
        </w:tabs>
        <w:spacing w:before="4" w:after="0" w:line="242" w:lineRule="auto"/>
        <w:ind w:left="220" w:right="285" w:firstLine="480"/>
        <w:jc w:val="left"/>
        <w:rPr>
          <w:sz w:val="24"/>
        </w:rPr>
      </w:pPr>
      <w:r>
        <w:rPr>
          <w:color w:val="333333"/>
          <w:spacing w:val="-1"/>
          <w:sz w:val="24"/>
        </w:rPr>
        <w:t>为了能起到更好的防锈效果，上油前必须使制品表面保持干燥，在零部件防锈工</w:t>
      </w:r>
      <w:r>
        <w:rPr>
          <w:color w:val="333333"/>
          <w:sz w:val="24"/>
        </w:rPr>
        <w:t>序及包装操作过程中，尽量避免手指直接触摸金属表面；</w:t>
      </w:r>
    </w:p>
    <w:p>
      <w:pPr>
        <w:pStyle w:val="7"/>
        <w:numPr>
          <w:ilvl w:val="1"/>
          <w:numId w:val="1"/>
        </w:numPr>
        <w:tabs>
          <w:tab w:val="left" w:pos="941"/>
        </w:tabs>
        <w:spacing w:before="3" w:after="0" w:line="240" w:lineRule="auto"/>
        <w:ind w:left="941" w:right="0" w:hanging="241"/>
        <w:jc w:val="left"/>
        <w:rPr>
          <w:sz w:val="24"/>
        </w:rPr>
      </w:pPr>
      <w:r>
        <w:rPr>
          <w:color w:val="333333"/>
          <w:sz w:val="24"/>
        </w:rPr>
        <w:t>本品应室内存放，避免明火；</w:t>
      </w:r>
    </w:p>
    <w:p>
      <w:pPr>
        <w:pStyle w:val="7"/>
        <w:numPr>
          <w:ilvl w:val="1"/>
          <w:numId w:val="1"/>
        </w:numPr>
        <w:tabs>
          <w:tab w:val="left" w:pos="941"/>
        </w:tabs>
        <w:spacing w:before="5" w:after="0" w:line="240" w:lineRule="auto"/>
        <w:ind w:left="941" w:right="0" w:hanging="241"/>
        <w:jc w:val="left"/>
        <w:rPr>
          <w:sz w:val="24"/>
        </w:rPr>
      </w:pPr>
      <w:r>
        <w:rPr>
          <w:color w:val="333333"/>
          <w:sz w:val="24"/>
        </w:rPr>
        <w:t>使用现场应有良好的通风装置或保持良好通风，工作人员应配置好防护用品。</w:t>
      </w:r>
    </w:p>
    <w:p>
      <w:pPr>
        <w:pStyle w:val="2"/>
      </w:pPr>
    </w:p>
    <w:p>
      <w:pPr>
        <w:pStyle w:val="7"/>
        <w:numPr>
          <w:ilvl w:val="0"/>
          <w:numId w:val="0"/>
        </w:numPr>
        <w:tabs>
          <w:tab w:val="left" w:pos="580"/>
        </w:tabs>
        <w:spacing w:before="1" w:after="0" w:line="240" w:lineRule="auto"/>
        <w:ind w:right="0" w:rightChars="0"/>
        <w:jc w:val="left"/>
        <w:rPr>
          <w:sz w:val="24"/>
        </w:rPr>
      </w:pPr>
      <w:r>
        <w:rPr>
          <w:sz w:val="24"/>
        </w:rPr>
        <w:t>质保期：常温密封储存一年。</w:t>
      </w:r>
    </w:p>
    <w:p>
      <w:pPr>
        <w:pStyle w:val="7"/>
        <w:numPr>
          <w:ilvl w:val="0"/>
          <w:numId w:val="1"/>
        </w:numPr>
        <w:tabs>
          <w:tab w:val="left" w:pos="580"/>
          <w:tab w:val="left" w:pos="4779"/>
        </w:tabs>
        <w:spacing w:before="103" w:after="0" w:line="240" w:lineRule="auto"/>
        <w:ind w:left="580" w:right="0" w:hanging="360"/>
        <w:jc w:val="left"/>
        <w:rPr>
          <w:sz w:val="24"/>
        </w:rPr>
      </w:pPr>
      <w:r>
        <w:rPr>
          <w:sz w:val="24"/>
        </w:rPr>
        <w:t>包装规格</w:t>
      </w:r>
      <w:r>
        <w:rPr>
          <w:spacing w:val="-120"/>
          <w:sz w:val="24"/>
        </w:rPr>
        <w:t>：</w:t>
      </w:r>
      <w:r>
        <w:rPr>
          <w:rFonts w:ascii="Times New Roman" w:hAnsi="Times New Roman" w:eastAsia="Times New Roman"/>
          <w:sz w:val="24"/>
        </w:rPr>
        <w:t>20</w:t>
      </w:r>
      <w:r>
        <w:rPr>
          <w:sz w:val="24"/>
        </w:rPr>
        <w:t>升和</w:t>
      </w:r>
      <w:r>
        <w:rPr>
          <w:rFonts w:ascii="Times New Roman" w:hAnsi="Times New Roman" w:eastAsia="Times New Roman"/>
          <w:sz w:val="24"/>
        </w:rPr>
        <w:t>200</w:t>
      </w:r>
      <w:r>
        <w:rPr>
          <w:sz w:val="24"/>
        </w:rPr>
        <w:t>升铁桶装</w:t>
      </w:r>
      <w:r>
        <w:rPr>
          <w:sz w:val="24"/>
        </w:rPr>
        <w:tab/>
      </w:r>
      <w:r>
        <w:rPr>
          <w:sz w:val="24"/>
        </w:rPr>
        <w:t>贮存</w:t>
      </w:r>
      <w:r>
        <w:rPr>
          <w:spacing w:val="-120"/>
          <w:sz w:val="24"/>
        </w:rPr>
        <w:t>：</w:t>
      </w:r>
      <w:r>
        <w:rPr>
          <w:sz w:val="24"/>
        </w:rPr>
        <w:t>使用及贮存时远离明火</w:t>
      </w:r>
      <w:r>
        <w:rPr>
          <w:rFonts w:ascii="Times New Roman" w:hAnsi="Times New Roman" w:eastAsia="Times New Roman"/>
          <w:sz w:val="24"/>
        </w:rPr>
        <w:t>,</w:t>
      </w:r>
      <w:r>
        <w:rPr>
          <w:sz w:val="24"/>
        </w:rPr>
        <w:t>避免高温环境。</w:t>
      </w:r>
    </w:p>
    <w:p>
      <w:pPr>
        <w:jc w:val="left"/>
        <w:rPr>
          <w:rFonts w:hint="eastAsia" w:ascii="宋体" w:hAnsi="宋体"/>
          <w:szCs w:val="21"/>
        </w:rPr>
      </w:pPr>
      <w:bookmarkStart w:id="0" w:name="OLE_LINK1"/>
    </w:p>
    <w:p>
      <w:pPr>
        <w:jc w:val="left"/>
        <w:rPr>
          <w:rFonts w:hint="eastAsia" w:ascii="宋体" w:hAnsi="宋体"/>
          <w:sz w:val="16"/>
          <w:szCs w:val="16"/>
        </w:rPr>
      </w:pPr>
    </w:p>
    <w:p>
      <w:pPr>
        <w:jc w:val="left"/>
        <w:rPr>
          <w:rFonts w:hint="eastAsia" w:ascii="宋体" w:hAnsi="宋体"/>
          <w:sz w:val="16"/>
          <w:szCs w:val="16"/>
        </w:rPr>
      </w:pPr>
      <w:r>
        <w:rPr>
          <w:rFonts w:hint="eastAsia" w:ascii="宋体" w:hAnsi="宋体"/>
          <w:sz w:val="16"/>
          <w:szCs w:val="16"/>
        </w:rPr>
        <w:t>本产品资料仅供参考，</w:t>
      </w:r>
      <w:r>
        <w:rPr>
          <w:rFonts w:hint="eastAsia" w:ascii="宋体" w:hAnsi="宋体"/>
          <w:sz w:val="16"/>
          <w:szCs w:val="16"/>
          <w:lang w:eastAsia="zh-CN"/>
        </w:rPr>
        <w:t>骏珏</w:t>
      </w:r>
      <w:r>
        <w:rPr>
          <w:rFonts w:hint="eastAsia" w:ascii="宋体" w:hAnsi="宋体"/>
          <w:sz w:val="16"/>
          <w:szCs w:val="16"/>
        </w:rPr>
        <w:t>公司对于任何指控产品的无效性或任何由于产品使用引起的直接或间接的伤害或损害不负任何责任，除非上述伤害或损害完全归咎于</w:t>
      </w:r>
      <w:r>
        <w:rPr>
          <w:rFonts w:hint="eastAsia" w:ascii="宋体" w:hAnsi="宋体"/>
          <w:sz w:val="16"/>
          <w:szCs w:val="16"/>
          <w:lang w:eastAsia="zh-CN"/>
        </w:rPr>
        <w:t>骏珏</w:t>
      </w:r>
      <w:r>
        <w:rPr>
          <w:rFonts w:hint="eastAsia" w:ascii="宋体" w:hAnsi="宋体"/>
          <w:sz w:val="16"/>
          <w:szCs w:val="16"/>
        </w:rPr>
        <w:t>公司的过失。</w:t>
      </w:r>
    </w:p>
    <w:bookmarkEnd w:id="0"/>
    <w:p>
      <w:pPr>
        <w:pStyle w:val="2"/>
        <w:rPr>
          <w:sz w:val="20"/>
        </w:rPr>
      </w:pPr>
    </w:p>
    <w:p>
      <w:pPr>
        <w:pStyle w:val="2"/>
        <w:spacing w:before="9"/>
        <w:rPr>
          <w:sz w:val="21"/>
        </w:rPr>
      </w:pPr>
      <w:r>
        <w:pict>
          <v:rect id="_x0000_s1027" o:spid="_x0000_s1027" o:spt="1" style="position:absolute;left:0pt;margin-left:72pt;margin-top:15.85pt;height:0.45pt;width:459pt;mso-position-horizontal-relative:page;mso-wrap-distance-bottom:0pt;mso-wrap-distance-top:0pt;z-index:-251655168;mso-width-relative:page;mso-height-relative:page;" fillcolor="#000000" filled="t" stroked="f" coordsize="21600,21600">
            <v:path/>
            <v:fill on="t" focussize="0,0"/>
            <v:stroke on="f"/>
            <v:imagedata o:title=""/>
            <o:lock v:ext="edit"/>
            <w10:wrap type="topAndBottom"/>
          </v:rect>
        </w:pict>
      </w:r>
    </w:p>
    <w:p>
      <w:pPr>
        <w:tabs>
          <w:tab w:val="left" w:pos="7496"/>
        </w:tabs>
        <w:spacing w:before="51"/>
        <w:ind w:left="313" w:right="0" w:firstLine="0"/>
        <w:jc w:val="left"/>
        <w:rPr>
          <w:rFonts w:ascii="Times New Roman" w:eastAsia="Times New Roman"/>
          <w:sz w:val="18"/>
        </w:rPr>
      </w:pPr>
      <w:r>
        <w:rPr>
          <w:sz w:val="18"/>
        </w:rPr>
        <w:t>南京骏珏科技有限公司</w:t>
      </w:r>
      <w:r>
        <w:rPr>
          <w:spacing w:val="82"/>
          <w:sz w:val="18"/>
        </w:rPr>
        <w:t xml:space="preserve"> </w:t>
      </w:r>
      <w:r>
        <w:rPr>
          <w:rFonts w:ascii="Arial MT" w:eastAsia="Arial MT"/>
          <w:sz w:val="18"/>
        </w:rPr>
        <w:t>Tel</w:t>
      </w:r>
      <w:r>
        <w:rPr>
          <w:sz w:val="18"/>
        </w:rPr>
        <w:t>：</w:t>
      </w:r>
      <w:r>
        <w:rPr>
          <w:rFonts w:ascii="Arial MT" w:eastAsia="Arial MT"/>
          <w:sz w:val="18"/>
        </w:rPr>
        <w:t>025-58858446</w:t>
      </w:r>
      <w:r>
        <w:rPr>
          <w:sz w:val="18"/>
        </w:rPr>
        <w:t>，</w:t>
      </w:r>
      <w:r>
        <w:rPr>
          <w:rFonts w:ascii="Arial MT" w:eastAsia="Arial MT"/>
          <w:sz w:val="18"/>
        </w:rPr>
        <w:t xml:space="preserve">58853446  </w:t>
      </w:r>
      <w:r>
        <w:rPr>
          <w:rFonts w:ascii="Arial MT" w:eastAsia="Arial MT"/>
          <w:spacing w:val="20"/>
          <w:sz w:val="18"/>
        </w:rPr>
        <w:t xml:space="preserve"> </w:t>
      </w:r>
      <w:r>
        <w:rPr>
          <w:rFonts w:ascii="Arial MT" w:eastAsia="Arial MT"/>
          <w:sz w:val="18"/>
        </w:rPr>
        <w:t>Fax</w:t>
      </w:r>
      <w:r>
        <w:rPr>
          <w:sz w:val="18"/>
        </w:rPr>
        <w:t>：</w:t>
      </w:r>
      <w:r>
        <w:rPr>
          <w:rFonts w:ascii="Arial MT" w:eastAsia="Arial MT"/>
          <w:sz w:val="18"/>
        </w:rPr>
        <w:t>025-58858446</w:t>
      </w:r>
      <w:r>
        <w:rPr>
          <w:rFonts w:ascii="Arial MT" w:eastAsia="Arial MT"/>
          <w:sz w:val="18"/>
        </w:rPr>
        <w:tab/>
      </w:r>
      <w:r>
        <w:fldChar w:fldCharType="begin"/>
      </w:r>
      <w:r>
        <w:instrText xml:space="preserve"> HYPERLINK "http://www.fangxiuyou.com.cn/" \h </w:instrText>
      </w:r>
      <w:r>
        <w:fldChar w:fldCharType="separate"/>
      </w:r>
      <w:r>
        <w:rPr>
          <w:rFonts w:ascii="Times New Roman" w:eastAsia="Times New Roman"/>
          <w:sz w:val="18"/>
        </w:rPr>
        <w:t>www.fangxiuyou.com.cn</w:t>
      </w:r>
      <w:r>
        <w:rPr>
          <w:rFonts w:ascii="Times New Roman" w:eastAsia="Times New Roman"/>
          <w:sz w:val="18"/>
        </w:rPr>
        <w:fldChar w:fldCharType="end"/>
      </w:r>
    </w:p>
    <w:sectPr>
      <w:type w:val="continuous"/>
      <w:pgSz w:w="11910" w:h="16840"/>
      <w:pgMar w:top="820" w:right="1060" w:bottom="280" w:left="12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80" w:hanging="360"/>
      </w:pPr>
      <w:rPr>
        <w:rFonts w:hint="default" w:ascii="宋体" w:hAnsi="宋体" w:eastAsia="宋体" w:cs="宋体"/>
        <w:w w:val="100"/>
        <w:sz w:val="24"/>
        <w:szCs w:val="24"/>
        <w:lang w:val="en-US" w:eastAsia="zh-CN" w:bidi="ar-SA"/>
      </w:rPr>
    </w:lvl>
    <w:lvl w:ilvl="1" w:tentative="0">
      <w:start w:val="1"/>
      <w:numFmt w:val="decimal"/>
      <w:lvlText w:val="%2."/>
      <w:lvlJc w:val="left"/>
      <w:pPr>
        <w:ind w:left="220" w:hanging="241"/>
        <w:jc w:val="left"/>
      </w:pPr>
      <w:rPr>
        <w:rFonts w:hint="default" w:ascii="宋体" w:hAnsi="宋体" w:eastAsia="宋体" w:cs="宋体"/>
        <w:color w:val="333333"/>
        <w:w w:val="100"/>
        <w:sz w:val="22"/>
        <w:szCs w:val="22"/>
        <w:lang w:val="en-US" w:eastAsia="zh-CN" w:bidi="ar-SA"/>
      </w:rPr>
    </w:lvl>
    <w:lvl w:ilvl="2" w:tentative="0">
      <w:start w:val="0"/>
      <w:numFmt w:val="bullet"/>
      <w:lvlText w:val="•"/>
      <w:lvlJc w:val="left"/>
      <w:pPr>
        <w:ind w:left="1585" w:hanging="241"/>
      </w:pPr>
      <w:rPr>
        <w:rFonts w:hint="default"/>
        <w:lang w:val="en-US" w:eastAsia="zh-CN" w:bidi="ar-SA"/>
      </w:rPr>
    </w:lvl>
    <w:lvl w:ilvl="3" w:tentative="0">
      <w:start w:val="0"/>
      <w:numFmt w:val="bullet"/>
      <w:lvlText w:val="•"/>
      <w:lvlJc w:val="left"/>
      <w:pPr>
        <w:ind w:left="2590" w:hanging="241"/>
      </w:pPr>
      <w:rPr>
        <w:rFonts w:hint="default"/>
        <w:lang w:val="en-US" w:eastAsia="zh-CN" w:bidi="ar-SA"/>
      </w:rPr>
    </w:lvl>
    <w:lvl w:ilvl="4" w:tentative="0">
      <w:start w:val="0"/>
      <w:numFmt w:val="bullet"/>
      <w:lvlText w:val="•"/>
      <w:lvlJc w:val="left"/>
      <w:pPr>
        <w:ind w:left="3595" w:hanging="241"/>
      </w:pPr>
      <w:rPr>
        <w:rFonts w:hint="default"/>
        <w:lang w:val="en-US" w:eastAsia="zh-CN" w:bidi="ar-SA"/>
      </w:rPr>
    </w:lvl>
    <w:lvl w:ilvl="5" w:tentative="0">
      <w:start w:val="0"/>
      <w:numFmt w:val="bullet"/>
      <w:lvlText w:val="•"/>
      <w:lvlJc w:val="left"/>
      <w:pPr>
        <w:ind w:left="4600" w:hanging="241"/>
      </w:pPr>
      <w:rPr>
        <w:rFonts w:hint="default"/>
        <w:lang w:val="en-US" w:eastAsia="zh-CN" w:bidi="ar-SA"/>
      </w:rPr>
    </w:lvl>
    <w:lvl w:ilvl="6" w:tentative="0">
      <w:start w:val="0"/>
      <w:numFmt w:val="bullet"/>
      <w:lvlText w:val="•"/>
      <w:lvlJc w:val="left"/>
      <w:pPr>
        <w:ind w:left="5605" w:hanging="241"/>
      </w:pPr>
      <w:rPr>
        <w:rFonts w:hint="default"/>
        <w:lang w:val="en-US" w:eastAsia="zh-CN" w:bidi="ar-SA"/>
      </w:rPr>
    </w:lvl>
    <w:lvl w:ilvl="7" w:tentative="0">
      <w:start w:val="0"/>
      <w:numFmt w:val="bullet"/>
      <w:lvlText w:val="•"/>
      <w:lvlJc w:val="left"/>
      <w:pPr>
        <w:ind w:left="6610" w:hanging="241"/>
      </w:pPr>
      <w:rPr>
        <w:rFonts w:hint="default"/>
        <w:lang w:val="en-US" w:eastAsia="zh-CN" w:bidi="ar-SA"/>
      </w:rPr>
    </w:lvl>
    <w:lvl w:ilvl="8" w:tentative="0">
      <w:start w:val="0"/>
      <w:numFmt w:val="bullet"/>
      <w:lvlText w:val="•"/>
      <w:lvlJc w:val="left"/>
      <w:pPr>
        <w:ind w:left="7615" w:hanging="241"/>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1E431306"/>
    <w:rsid w:val="290C4037"/>
    <w:rsid w:val="6D5D46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en-US" w:eastAsia="zh-CN" w:bidi="ar-SA"/>
    </w:rPr>
  </w:style>
  <w:style w:type="paragraph" w:styleId="3">
    <w:name w:val="Title"/>
    <w:basedOn w:val="1"/>
    <w:qFormat/>
    <w:uiPriority w:val="1"/>
    <w:pPr>
      <w:spacing w:before="15"/>
      <w:ind w:left="371"/>
    </w:pPr>
    <w:rPr>
      <w:rFonts w:ascii="宋体" w:hAnsi="宋体" w:eastAsia="宋体" w:cs="宋体"/>
      <w:sz w:val="52"/>
      <w:szCs w:val="52"/>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4"/>
      <w:ind w:left="580" w:hanging="360"/>
    </w:pPr>
    <w:rPr>
      <w:rFonts w:ascii="宋体" w:hAnsi="宋体" w:eastAsia="宋体" w:cs="宋体"/>
      <w:lang w:val="en-US" w:eastAsia="zh-CN" w:bidi="ar-SA"/>
    </w:rPr>
  </w:style>
  <w:style w:type="paragraph" w:customStyle="1" w:styleId="8">
    <w:name w:val="Table Paragraph"/>
    <w:basedOn w:val="1"/>
    <w:qFormat/>
    <w:uiPriority w:val="1"/>
    <w:pPr>
      <w:ind w:left="159"/>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667</Words>
  <Characters>817</Characters>
  <TotalTime>3</TotalTime>
  <ScaleCrop>false</ScaleCrop>
  <LinksUpToDate>false</LinksUpToDate>
  <CharactersWithSpaces>832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2022-06-09T03:37:00Z</dcterms:created>
  <dc:creator>rdlab</dc:creator>
  <cp:lastModifiedBy>Chen</cp:lastModifiedBy>
  <dcterms:modified xsi:type="dcterms:W3CDTF">2022-06-09T05:51:12Z</dcterms:modified>
  <dc:title>产品安全资料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WPS 文字</vt:lpwstr>
  </property>
  <property fmtid="{D5CDD505-2E9C-101B-9397-08002B2CF9AE}" pid="4" name="LastSaved">
    <vt:filetime>2022-06-09T00:00:00Z</vt:filetime>
  </property>
  <property fmtid="{D5CDD505-2E9C-101B-9397-08002B2CF9AE}" pid="5" name="KSOProductBuildVer">
    <vt:lpwstr>2052-11.1.0.11744</vt:lpwstr>
  </property>
  <property fmtid="{D5CDD505-2E9C-101B-9397-08002B2CF9AE}" pid="6" name="ICV">
    <vt:lpwstr>B541D80F66D2464CA38E8148328E09A4</vt:lpwstr>
  </property>
</Properties>
</file>